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6" w:rsidRPr="00F44C56" w:rsidRDefault="00F44C56" w:rsidP="00F44C56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C5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44C56" w:rsidRDefault="00F44C56" w:rsidP="00F44C56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C56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F44C56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F44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56" w:rsidRPr="00F44C56" w:rsidRDefault="00F44C56" w:rsidP="00F44C56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C56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9D60CD" w:rsidRDefault="009D60CD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F0" w:rsidRPr="000B66F0" w:rsidRDefault="00AD48C6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возможных бюджетных рисков на 201</w:t>
      </w:r>
      <w:r w:rsidR="0054147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0B66F0" w:rsidRPr="000B6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800">
        <w:rPr>
          <w:rFonts w:ascii="Times New Roman" w:hAnsi="Times New Roman" w:cs="Times New Roman"/>
          <w:b/>
          <w:sz w:val="28"/>
          <w:szCs w:val="28"/>
        </w:rPr>
        <w:t xml:space="preserve">сектора финансового планирования бухгалтерского учета и отчетности </w:t>
      </w:r>
      <w:r w:rsidR="000B66F0" w:rsidRPr="000B66F0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2171DE"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="000B66F0" w:rsidRPr="000B66F0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</w:t>
      </w:r>
    </w:p>
    <w:p w:rsidR="000B66F0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6F0" w:rsidRPr="00207EB4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74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827"/>
        <w:gridCol w:w="1843"/>
        <w:gridCol w:w="1843"/>
        <w:gridCol w:w="1842"/>
        <w:gridCol w:w="2127"/>
      </w:tblGrid>
      <w:tr w:rsidR="00BC204C" w:rsidRPr="00EC2611" w:rsidTr="00BC204C">
        <w:trPr>
          <w:tblHeader/>
        </w:trPr>
        <w:tc>
          <w:tcPr>
            <w:tcW w:w="675" w:type="dxa"/>
            <w:vMerge w:val="restart"/>
          </w:tcPr>
          <w:p w:rsidR="00BC204C" w:rsidRPr="00EC2611" w:rsidRDefault="00BC204C" w:rsidP="003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204C" w:rsidRPr="00EC2611" w:rsidRDefault="00BC204C" w:rsidP="0031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BC204C" w:rsidRPr="00EC2611" w:rsidRDefault="00D569B5" w:rsidP="00D5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 - н</w:t>
            </w:r>
            <w:r w:rsidR="00BC204C" w:rsidRPr="00EC2611">
              <w:rPr>
                <w:rFonts w:ascii="Times New Roman" w:hAnsi="Times New Roman" w:cs="Times New Roman"/>
                <w:sz w:val="24"/>
                <w:szCs w:val="24"/>
              </w:rPr>
              <w:t>аименование бюджетной процедуры</w:t>
            </w:r>
            <w:r w:rsidR="00BC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BC204C" w:rsidRPr="00EC2611" w:rsidRDefault="00BC204C" w:rsidP="0012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Идентификация бюджетного риска</w:t>
            </w:r>
          </w:p>
        </w:tc>
        <w:tc>
          <w:tcPr>
            <w:tcW w:w="5528" w:type="dxa"/>
            <w:gridSpan w:val="3"/>
          </w:tcPr>
          <w:p w:rsidR="00BC204C" w:rsidRPr="00EC2611" w:rsidRDefault="00BC204C" w:rsidP="0012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Оценка бюджетного риска</w:t>
            </w:r>
          </w:p>
        </w:tc>
        <w:tc>
          <w:tcPr>
            <w:tcW w:w="2127" w:type="dxa"/>
            <w:vMerge w:val="restart"/>
          </w:tcPr>
          <w:p w:rsidR="00BC204C" w:rsidRPr="00EC2611" w:rsidRDefault="00C57905" w:rsidP="0012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включения в план внутреннего финансового контроля</w:t>
            </w:r>
          </w:p>
        </w:tc>
      </w:tr>
      <w:tr w:rsidR="00BC204C" w:rsidRPr="00EC2611" w:rsidTr="00BC204C">
        <w:trPr>
          <w:trHeight w:val="391"/>
        </w:trPr>
        <w:tc>
          <w:tcPr>
            <w:tcW w:w="675" w:type="dxa"/>
            <w:vMerge/>
          </w:tcPr>
          <w:p w:rsidR="00BC204C" w:rsidRPr="00EC2611" w:rsidRDefault="00BC204C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C204C" w:rsidRPr="00EC2611" w:rsidRDefault="00BC204C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C204C" w:rsidRPr="00EC2611" w:rsidRDefault="00BC204C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04C" w:rsidRPr="00EC2611" w:rsidRDefault="00BC204C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1843" w:type="dxa"/>
          </w:tcPr>
          <w:p w:rsidR="00BC204C" w:rsidRPr="00EC2611" w:rsidRDefault="00BC204C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</w:t>
            </w:r>
          </w:p>
        </w:tc>
        <w:tc>
          <w:tcPr>
            <w:tcW w:w="1842" w:type="dxa"/>
          </w:tcPr>
          <w:p w:rsidR="00BC204C" w:rsidRPr="00EC2611" w:rsidRDefault="00BC204C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Совокупный уровень риска</w:t>
            </w:r>
          </w:p>
        </w:tc>
        <w:tc>
          <w:tcPr>
            <w:tcW w:w="2127" w:type="dxa"/>
            <w:vMerge/>
          </w:tcPr>
          <w:p w:rsidR="00BC204C" w:rsidRPr="00EC2611" w:rsidRDefault="00BC204C" w:rsidP="001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4C" w:rsidRPr="00EC2611" w:rsidTr="00BC204C">
        <w:trPr>
          <w:trHeight w:val="391"/>
        </w:trPr>
        <w:tc>
          <w:tcPr>
            <w:tcW w:w="675" w:type="dxa"/>
          </w:tcPr>
          <w:p w:rsidR="00BC204C" w:rsidRPr="00EC2611" w:rsidRDefault="00BC204C" w:rsidP="00A2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C204C" w:rsidRPr="00EC2611" w:rsidRDefault="00BC204C" w:rsidP="00A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рассмотрения проекта областного бюджета</w:t>
            </w:r>
          </w:p>
        </w:tc>
        <w:tc>
          <w:tcPr>
            <w:tcW w:w="3827" w:type="dxa"/>
          </w:tcPr>
          <w:p w:rsidR="00BC204C" w:rsidRPr="00EC2611" w:rsidRDefault="00BC204C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бюджета,  нарушение установленных сроков представления документов в министерство финансов Ростовской области, необоснованность ассигнований по направлениям расходов</w:t>
            </w:r>
          </w:p>
          <w:p w:rsidR="00BC204C" w:rsidRPr="00EC2611" w:rsidRDefault="00BC204C" w:rsidP="00E2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04C" w:rsidRPr="00EC2611" w:rsidRDefault="00BC204C" w:rsidP="00A2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BC204C" w:rsidRPr="00EC2611" w:rsidRDefault="00BC204C" w:rsidP="00A2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BC204C" w:rsidRPr="00EC2611" w:rsidRDefault="00BC204C" w:rsidP="00A2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BC204C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планового объема бюджетных  ассигнований на очередной финансовый год и заполнение приложений в соответствии с приказами министерства финансов Ростовской области</w:t>
            </w:r>
            <w:r w:rsidRPr="00EC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бюджета,  нарушение установленных сроков представления документов в министерство финансов Ростовской области, необоснованность ассигнований по направлениям расходов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в министерство финансов Ростовской области реестра расходных обязательств</w:t>
            </w:r>
          </w:p>
          <w:p w:rsidR="00C57905" w:rsidRPr="00EC2611" w:rsidRDefault="00C57905" w:rsidP="00C5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формирование проекта бюджета,  нарушение установленных сроков представления документов в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финансов Ростовской области, необоснованность ассигнований по направлениям расходов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ведения кассового плана по расходам областного бюджета</w:t>
            </w:r>
          </w:p>
          <w:p w:rsidR="00C57905" w:rsidRPr="00EC2611" w:rsidRDefault="00C57905" w:rsidP="00C5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кассовый план по расходам областного бюджета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низкое качество кассового планирования (наличие необоснованно внесенных изменений в кассовый план)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отчета о кассовом исполнении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утверждение и ведение бюджетной </w:t>
            </w:r>
            <w:proofErr w:type="gramStart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  <w:proofErr w:type="gramEnd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неё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C57905" w:rsidRPr="00EC2611" w:rsidRDefault="00541477" w:rsidP="0054147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7905" w:rsidRPr="00EC2611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C57905"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сметы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актов, Необоснованное включение расходов в бюджетную смету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составления и  утверждения бюджетной сметы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 штрафные санкции за нарушение порядка составления и ведения бюджетной сметы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бюджетную смету.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нормативно-правовых актов,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штрафные санкции за нарушение порядка составления и ведения бюджетной сметы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 штрафные санкции за нарушение порядка составления и ведения бюджетной сметы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государственных заданий в отношении подведомственных государственных бюджетных учреждений  на основе ведомственного перечня государственных услуг по установленной форме</w:t>
            </w:r>
          </w:p>
          <w:p w:rsidR="00C57905" w:rsidRPr="00EC2611" w:rsidRDefault="00C57905" w:rsidP="00C579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Сбор отчетов подведомственных государственных бюджетных учреждений о выполнении показателей государственного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орректировка параметров  выполнения государственных заданий подведомственными государственными бюджетными учреждениями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 отчетных данных, влияет на исполнение государственного задания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отнесения расходов на соответствующие коды бюджетной классификации при принятии и исполнении бюджетных обязательств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 (предусмотрены штрафные санкции за несоблюдение требований нормативно-правовых актов и сроков исполнения)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соответствия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предусмотренных порядком санкционирования оплаты денежных обязательств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Несоблюдение требований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 актов,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 соблюдением целевого назначения заявок на оплату расходов, являющихся основанием для осуществления операций по расходам средств областного бюджета 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 (предусмотрены штрафные санкции за несоблюдение требований нормативно-правовых актов и сроков исполнения)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Своевременность и соблюдение порядка оплаты денежных обязательств по принятым бюджетным обязательствам в пределах доведенных лимитов бюджетных обязательств и утвержденных сметных назначений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актов,</w:t>
            </w:r>
          </w:p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влияет на формирование проекта бюджета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и оформление результатов инвентаризации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Обязательна перед составлением годовой отчетности, подтверждает достоверность отдельных показателей бюджетной отчетности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Инвентаризация расчетов с поставщиками, подотчетными лицами, и другими дебиторами и кредиторами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Обязательна перед составлением годовой отчетности проверка обоснованности сумм, числящихся на счетах бюджетного учета на основании актов сверок, подтверждает достоверность отдельных показателей бюджетной отчетности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начисления заработной платы по установленным законодательством должностным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окладам и </w:t>
            </w:r>
            <w:proofErr w:type="gramStart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надбавкам</w:t>
            </w:r>
            <w:proofErr w:type="gramEnd"/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 штатным сотрудникам, выплаты премий, материальной помощи.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требований нормативно-правовых актов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расчетов с сотрудниками по дополнительным выплатам (пособиям по временной нетрудоспособности, очередным отпускам, компенсациям за неиспользованный отпуск при увольнении сотрудника и иным расчетам)</w:t>
            </w:r>
          </w:p>
          <w:p w:rsidR="00C57905" w:rsidRPr="00EC2611" w:rsidRDefault="00C57905" w:rsidP="00C57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предоставления налоговой отчетности по исчисленному налогу на доходы физических лиц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 (предусмотрены штрафные санкции за несоблюдение требований нормативно-правовых актов и сроков исполнения)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порядка, своевременность исчисления страховых взносов на обязательное пенсионное страхование и обязательное медицинское страхование, представления отчетности по обязательному социальному страхованию и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 (предусмотрены штрафные санкции за несоблюдение требований нормативно-правовых актов и сроков исполнения)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порядка, своевременность исчисления налога на имущество организаций, транспортного налога и предоставления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отчетности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Несоблюдение требований нормативно-правовых актов (предусмотрены штрафные санкции за несоблюдение требований нормативно-правовых 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и сроков исполнения)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Проверка и принятие к учету авансовых отчетов подотчетных лиц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Проверка путевых листов для определения объемов израсходованных ГСМ, подлежащих списанию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формирования документов – оснований, необходимых для отражения в учете операций по нефинансовым активам (поступление, перемещение и списание)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нормативно-правовых актов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391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бюджетной отчетности в министерство финансов Ростовской области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Штрафные санкции за несвоевременность и недостоверность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  <w:tr w:rsidR="00C57905" w:rsidRPr="00EC2611" w:rsidTr="00BC204C">
        <w:trPr>
          <w:trHeight w:val="509"/>
        </w:trPr>
        <w:tc>
          <w:tcPr>
            <w:tcW w:w="675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7905" w:rsidRPr="00EC2611" w:rsidRDefault="00C57905" w:rsidP="00C5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министерство финансов Ростовской области сводной бухгалтерской отчетности подведомственных учреждений</w:t>
            </w:r>
          </w:p>
        </w:tc>
        <w:tc>
          <w:tcPr>
            <w:tcW w:w="38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Штрафные санкции за несвоевременность и недостоверность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843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</w:tcPr>
          <w:p w:rsidR="00C57905" w:rsidRPr="00EC2611" w:rsidRDefault="00C57905" w:rsidP="00C5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включению </w:t>
            </w:r>
          </w:p>
        </w:tc>
      </w:tr>
    </w:tbl>
    <w:p w:rsidR="003662B8" w:rsidRDefault="00AE2E51" w:rsidP="0036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3662B8" w:rsidRDefault="003662B8" w:rsidP="0036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2B8" w:rsidRPr="003662B8" w:rsidRDefault="003662B8" w:rsidP="0036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B8">
        <w:rPr>
          <w:rFonts w:ascii="Times New Roman" w:hAnsi="Times New Roman" w:cs="Times New Roman"/>
          <w:sz w:val="28"/>
          <w:szCs w:val="28"/>
        </w:rPr>
        <w:t xml:space="preserve">Заведующий сектором финансового планирования, </w:t>
      </w:r>
    </w:p>
    <w:p w:rsidR="004C321A" w:rsidRPr="003662B8" w:rsidRDefault="003662B8" w:rsidP="0036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B8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662B8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3662B8">
        <w:rPr>
          <w:rFonts w:ascii="Times New Roman" w:hAnsi="Times New Roman" w:cs="Times New Roman"/>
          <w:sz w:val="28"/>
          <w:szCs w:val="28"/>
        </w:rPr>
        <w:t>Прончакова</w:t>
      </w:r>
      <w:proofErr w:type="spellEnd"/>
    </w:p>
    <w:sectPr w:rsidR="004C321A" w:rsidRPr="003662B8" w:rsidSect="000B66F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F"/>
    <w:rsid w:val="00001899"/>
    <w:rsid w:val="00012491"/>
    <w:rsid w:val="00042033"/>
    <w:rsid w:val="00061E7F"/>
    <w:rsid w:val="00083097"/>
    <w:rsid w:val="000B66F0"/>
    <w:rsid w:val="000C27C9"/>
    <w:rsid w:val="000C5EAE"/>
    <w:rsid w:val="000F2C5F"/>
    <w:rsid w:val="0010061B"/>
    <w:rsid w:val="00123007"/>
    <w:rsid w:val="00157C7E"/>
    <w:rsid w:val="00166E46"/>
    <w:rsid w:val="001D0D47"/>
    <w:rsid w:val="001E0570"/>
    <w:rsid w:val="001F3CE6"/>
    <w:rsid w:val="00207EB4"/>
    <w:rsid w:val="002171DE"/>
    <w:rsid w:val="00231F5A"/>
    <w:rsid w:val="002667C5"/>
    <w:rsid w:val="00267CF3"/>
    <w:rsid w:val="002864E0"/>
    <w:rsid w:val="002B20AF"/>
    <w:rsid w:val="002C5CE0"/>
    <w:rsid w:val="002D1AE3"/>
    <w:rsid w:val="002E62BB"/>
    <w:rsid w:val="0031454E"/>
    <w:rsid w:val="0031552D"/>
    <w:rsid w:val="00324188"/>
    <w:rsid w:val="00330F8B"/>
    <w:rsid w:val="00347254"/>
    <w:rsid w:val="00364B7F"/>
    <w:rsid w:val="003662B8"/>
    <w:rsid w:val="00386BDC"/>
    <w:rsid w:val="003C5F48"/>
    <w:rsid w:val="00413209"/>
    <w:rsid w:val="00467EE1"/>
    <w:rsid w:val="00492C55"/>
    <w:rsid w:val="00494AA5"/>
    <w:rsid w:val="004A4227"/>
    <w:rsid w:val="004A6514"/>
    <w:rsid w:val="004C321A"/>
    <w:rsid w:val="004C5BC2"/>
    <w:rsid w:val="004E20B3"/>
    <w:rsid w:val="005326BB"/>
    <w:rsid w:val="00537A96"/>
    <w:rsid w:val="00541477"/>
    <w:rsid w:val="00595F1C"/>
    <w:rsid w:val="005A7426"/>
    <w:rsid w:val="005B33F6"/>
    <w:rsid w:val="005B4F68"/>
    <w:rsid w:val="005E46B5"/>
    <w:rsid w:val="006360C4"/>
    <w:rsid w:val="006502FB"/>
    <w:rsid w:val="00683A17"/>
    <w:rsid w:val="006F3F6A"/>
    <w:rsid w:val="00707702"/>
    <w:rsid w:val="00760E11"/>
    <w:rsid w:val="007771D4"/>
    <w:rsid w:val="007E2F94"/>
    <w:rsid w:val="00806952"/>
    <w:rsid w:val="00814C55"/>
    <w:rsid w:val="00831894"/>
    <w:rsid w:val="00872384"/>
    <w:rsid w:val="0088626A"/>
    <w:rsid w:val="0091389A"/>
    <w:rsid w:val="009328DC"/>
    <w:rsid w:val="0094166C"/>
    <w:rsid w:val="00974AAD"/>
    <w:rsid w:val="0097791F"/>
    <w:rsid w:val="009C18BE"/>
    <w:rsid w:val="009D37E2"/>
    <w:rsid w:val="009D60CD"/>
    <w:rsid w:val="009D64A4"/>
    <w:rsid w:val="00A24BC7"/>
    <w:rsid w:val="00A25557"/>
    <w:rsid w:val="00A84EBE"/>
    <w:rsid w:val="00AB352E"/>
    <w:rsid w:val="00AC585F"/>
    <w:rsid w:val="00AD48C6"/>
    <w:rsid w:val="00AE2E51"/>
    <w:rsid w:val="00AF0F41"/>
    <w:rsid w:val="00B144BF"/>
    <w:rsid w:val="00B34ECE"/>
    <w:rsid w:val="00B71800"/>
    <w:rsid w:val="00B83F38"/>
    <w:rsid w:val="00BA06D9"/>
    <w:rsid w:val="00BC204C"/>
    <w:rsid w:val="00BE711C"/>
    <w:rsid w:val="00C44A10"/>
    <w:rsid w:val="00C57905"/>
    <w:rsid w:val="00CC6AA1"/>
    <w:rsid w:val="00CF3843"/>
    <w:rsid w:val="00D569B5"/>
    <w:rsid w:val="00D57266"/>
    <w:rsid w:val="00D85A56"/>
    <w:rsid w:val="00D96949"/>
    <w:rsid w:val="00E06E80"/>
    <w:rsid w:val="00E1151E"/>
    <w:rsid w:val="00E244A4"/>
    <w:rsid w:val="00EA4F9E"/>
    <w:rsid w:val="00EB6B78"/>
    <w:rsid w:val="00EC2611"/>
    <w:rsid w:val="00EC3AD6"/>
    <w:rsid w:val="00EF61A6"/>
    <w:rsid w:val="00F20332"/>
    <w:rsid w:val="00F34ED0"/>
    <w:rsid w:val="00F44C56"/>
    <w:rsid w:val="00F94D12"/>
    <w:rsid w:val="00FB5BD2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A470-73E2-42D4-8D37-1783BB01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3</cp:revision>
  <cp:lastPrinted>2017-02-06T11:05:00Z</cp:lastPrinted>
  <dcterms:created xsi:type="dcterms:W3CDTF">2017-02-06T11:03:00Z</dcterms:created>
  <dcterms:modified xsi:type="dcterms:W3CDTF">2017-02-06T11:06:00Z</dcterms:modified>
</cp:coreProperties>
</file>